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7DCA" w14:textId="77777777" w:rsidR="003A34E0" w:rsidRDefault="003A34E0">
      <w:pPr>
        <w:spacing w:line="540" w:lineRule="exact"/>
        <w:ind w:firstLine="640"/>
        <w:rPr>
          <w:rFonts w:ascii="仿宋_GB2312" w:eastAsia="仿宋_GB2312" w:hAnsi="仿宋_GB2312" w:cs="仿宋_GB2312"/>
          <w:sz w:val="32"/>
          <w:szCs w:val="32"/>
        </w:rPr>
      </w:pPr>
    </w:p>
    <w:p w14:paraId="2EC19928" w14:textId="77777777" w:rsidR="003A34E0" w:rsidRDefault="003A34E0">
      <w:pPr>
        <w:spacing w:line="540" w:lineRule="exact"/>
        <w:ind w:firstLine="640"/>
        <w:rPr>
          <w:rFonts w:ascii="仿宋_GB2312" w:eastAsia="仿宋_GB2312" w:hAnsi="仿宋_GB2312" w:cs="仿宋_GB2312"/>
          <w:sz w:val="32"/>
          <w:szCs w:val="32"/>
        </w:rPr>
      </w:pPr>
    </w:p>
    <w:p w14:paraId="541D6726" w14:textId="77777777" w:rsidR="003A34E0" w:rsidRDefault="00000000">
      <w:pPr>
        <w:spacing w:line="54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浙江中医药大学公共卫生学院</w:t>
      </w:r>
    </w:p>
    <w:p w14:paraId="070B11EC" w14:textId="77777777" w:rsidR="003A34E0" w:rsidRDefault="00000000">
      <w:pPr>
        <w:spacing w:line="540" w:lineRule="exact"/>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2025年度硕士研究生招生复试细则</w:t>
      </w:r>
    </w:p>
    <w:p w14:paraId="4EBB3A8A" w14:textId="77777777" w:rsidR="003A34E0" w:rsidRDefault="003A34E0">
      <w:pPr>
        <w:spacing w:line="540" w:lineRule="exact"/>
        <w:ind w:firstLine="640"/>
        <w:rPr>
          <w:rFonts w:ascii="仿宋_GB2312" w:eastAsia="仿宋_GB2312" w:hAnsi="仿宋_GB2312" w:cs="仿宋_GB2312"/>
          <w:sz w:val="32"/>
          <w:szCs w:val="32"/>
        </w:rPr>
      </w:pPr>
    </w:p>
    <w:p w14:paraId="7FC1959F"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根据学校研究生院统一部署，结合公共卫生学院具体情况，保障复试工作顺利开展，特制定2025年公共卫生学院硕士研究生招生复试细则。</w:t>
      </w:r>
    </w:p>
    <w:p w14:paraId="4095FEA1"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一、复试组织管理</w:t>
      </w:r>
    </w:p>
    <w:p w14:paraId="555648B8"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1.成立复试领导小组。</w:t>
      </w:r>
    </w:p>
    <w:p w14:paraId="6A3099B3"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2.成立</w:t>
      </w:r>
      <w:r>
        <w:rPr>
          <w:rFonts w:ascii="仿宋_GB2312" w:eastAsia="仿宋_GB2312" w:hAnsi="仿宋_GB2312" w:cs="仿宋_GB2312" w:hint="eastAsia"/>
          <w:sz w:val="32"/>
          <w:szCs w:val="32"/>
        </w:rPr>
        <w:t>复试专家组。</w:t>
      </w:r>
    </w:p>
    <w:p w14:paraId="65856694"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学院成立包含各学科负责人在内的复试小组，对考生进行统一复试。各复试小组一般不少于5人，按照“随机确定复试小组组成成员”的原则，每组设组长1人，秘书2人。</w:t>
      </w:r>
    </w:p>
    <w:p w14:paraId="49BD33F3"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sz w:val="32"/>
          <w:szCs w:val="32"/>
        </w:rPr>
        <w:t>复试全程录音、录像。坚持公开、公平、公正的原则，遵循“随机确定考生复试次序”“导师与研究生双向选择”的工作原则。</w:t>
      </w:r>
    </w:p>
    <w:p w14:paraId="7A7ED89A" w14:textId="77777777" w:rsidR="003A34E0" w:rsidRDefault="00000000">
      <w:pPr>
        <w:spacing w:line="540" w:lineRule="exact"/>
        <w:ind w:firstLine="640"/>
        <w:rPr>
          <w:rFonts w:ascii="仿宋_GB2312" w:eastAsia="仿宋_GB2312" w:hAnsi="仿宋_GB2312" w:cs="仿宋_GB2312"/>
          <w:b/>
          <w:kern w:val="0"/>
          <w:sz w:val="32"/>
          <w:szCs w:val="32"/>
        </w:rPr>
      </w:pPr>
      <w:r>
        <w:rPr>
          <w:rFonts w:ascii="仿宋_GB2312" w:eastAsia="仿宋_GB2312" w:hAnsi="仿宋_GB2312" w:cs="仿宋_GB2312" w:hint="eastAsia"/>
          <w:sz w:val="32"/>
          <w:szCs w:val="32"/>
        </w:rPr>
        <w:t>4.遵循“随机抽取复试试题”的原则。</w:t>
      </w:r>
    </w:p>
    <w:p w14:paraId="6F48784A"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二、复试比例</w:t>
      </w:r>
    </w:p>
    <w:p w14:paraId="4A3BA1E6"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超额</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志愿专业按1:1.5差额复试；未超额</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志愿专业按实际比例进行复试。</w:t>
      </w:r>
    </w:p>
    <w:p w14:paraId="6CBEC77F"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三、复试内容</w:t>
      </w:r>
    </w:p>
    <w:p w14:paraId="6DF85642"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（1）英语听力;</w:t>
      </w:r>
    </w:p>
    <w:p w14:paraId="6B121D62"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（2）英语口语及专业外语;</w:t>
      </w:r>
    </w:p>
    <w:p w14:paraId="30FE18BC"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（3）专业知识能力：面试专业基础题+面试专业综合题</w:t>
      </w:r>
    </w:p>
    <w:p w14:paraId="1F07BFF0"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涵盖课程：包括《流行病学》《卫生统计学》《环境卫生</w:t>
      </w:r>
      <w:r>
        <w:rPr>
          <w:rFonts w:ascii="仿宋_GB2312" w:eastAsia="仿宋_GB2312" w:hAnsi="仿宋_GB2312" w:cs="仿宋_GB2312" w:hint="eastAsia"/>
          <w:sz w:val="32"/>
          <w:szCs w:val="32"/>
        </w:rPr>
        <w:lastRenderedPageBreak/>
        <w:t>学</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《职业卫生和职业病学》《卫生毒理学》《营养与食品卫生学》《中医预防医学》等。</w:t>
      </w:r>
    </w:p>
    <w:p w14:paraId="075B1349"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着重考察学生发现、分析和解决问题能力，专业实验能力，以及对本学科发展动态的了解及专业领域发展的潜力方面的能力。</w:t>
      </w:r>
    </w:p>
    <w:p w14:paraId="4BFF9ABB" w14:textId="77777777" w:rsidR="003A34E0" w:rsidRDefault="00000000">
      <w:pPr>
        <w:spacing w:line="540" w:lineRule="exact"/>
        <w:ind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（4）综合素质能力：采取面试，着重考察学生思想政治和道德品质、创新能力、事业心、责任感、心理健康和社会实践等内容。</w:t>
      </w:r>
    </w:p>
    <w:p w14:paraId="27DFCF27"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四、复试方式及时间</w:t>
      </w:r>
    </w:p>
    <w:p w14:paraId="501ACF21"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1.复试方式：采用现场复试的方式。</w:t>
      </w:r>
    </w:p>
    <w:p w14:paraId="2F88F52A"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2.复试时间、地点：</w:t>
      </w:r>
    </w:p>
    <w:p w14:paraId="34320D5F"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志愿复试时间如下：</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888"/>
        <w:gridCol w:w="4225"/>
      </w:tblGrid>
      <w:tr w:rsidR="003A34E0" w14:paraId="1A376B96" w14:textId="77777777">
        <w:trPr>
          <w:trHeight w:val="490"/>
          <w:jc w:val="center"/>
        </w:trPr>
        <w:tc>
          <w:tcPr>
            <w:tcW w:w="8300" w:type="dxa"/>
            <w:gridSpan w:val="3"/>
            <w:tcBorders>
              <w:top w:val="nil"/>
              <w:left w:val="nil"/>
              <w:bottom w:val="single" w:sz="4" w:space="0" w:color="auto"/>
              <w:right w:val="nil"/>
            </w:tcBorders>
            <w:shd w:val="clear" w:color="auto" w:fill="auto"/>
          </w:tcPr>
          <w:p w14:paraId="7F37C96E" w14:textId="77777777" w:rsidR="003A34E0" w:rsidRDefault="00000000">
            <w:pPr>
              <w:spacing w:line="540" w:lineRule="exact"/>
              <w:ind w:firstLineChars="0" w:firstLine="0"/>
              <w:jc w:val="center"/>
              <w:rPr>
                <w:rFonts w:ascii="仿宋_GB2312" w:eastAsia="仿宋_GB2312" w:hAnsi="仿宋_GB2312" w:cs="仿宋_GB2312"/>
                <w:b/>
                <w:sz w:val="32"/>
                <w:szCs w:val="32"/>
              </w:rPr>
            </w:pP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志愿复试安排</w:t>
            </w:r>
          </w:p>
        </w:tc>
      </w:tr>
      <w:tr w:rsidR="003A34E0" w14:paraId="1536ADEC" w14:textId="77777777">
        <w:trPr>
          <w:trHeight w:val="989"/>
          <w:jc w:val="center"/>
        </w:trPr>
        <w:tc>
          <w:tcPr>
            <w:tcW w:w="1187" w:type="dxa"/>
            <w:tcBorders>
              <w:top w:val="single" w:sz="4" w:space="0" w:color="auto"/>
            </w:tcBorders>
            <w:shd w:val="clear" w:color="auto" w:fill="auto"/>
          </w:tcPr>
          <w:p w14:paraId="5B271F40" w14:textId="77777777" w:rsidR="003A34E0" w:rsidRDefault="00000000">
            <w:pPr>
              <w:spacing w:line="540" w:lineRule="exact"/>
              <w:ind w:firstLineChars="100" w:firstLine="320"/>
              <w:jc w:val="center"/>
              <w:rPr>
                <w:rFonts w:ascii="黑体" w:eastAsia="黑体" w:hAnsi="黑体" w:cs="黑体"/>
                <w:sz w:val="32"/>
                <w:szCs w:val="32"/>
              </w:rPr>
            </w:pPr>
            <w:r>
              <w:rPr>
                <w:rFonts w:ascii="黑体" w:eastAsia="黑体" w:hAnsi="黑体" w:cs="黑体" w:hint="eastAsia"/>
                <w:sz w:val="32"/>
                <w:szCs w:val="32"/>
              </w:rPr>
              <w:t>序号</w:t>
            </w:r>
          </w:p>
        </w:tc>
        <w:tc>
          <w:tcPr>
            <w:tcW w:w="2888" w:type="dxa"/>
            <w:tcBorders>
              <w:top w:val="single" w:sz="4" w:space="0" w:color="auto"/>
            </w:tcBorders>
            <w:shd w:val="clear" w:color="auto" w:fill="auto"/>
          </w:tcPr>
          <w:p w14:paraId="06E6B837"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专业</w:t>
            </w:r>
          </w:p>
        </w:tc>
        <w:tc>
          <w:tcPr>
            <w:tcW w:w="4225" w:type="dxa"/>
            <w:tcBorders>
              <w:top w:val="single" w:sz="4" w:space="0" w:color="auto"/>
            </w:tcBorders>
            <w:shd w:val="clear" w:color="auto" w:fill="auto"/>
          </w:tcPr>
          <w:p w14:paraId="5C35C0EA"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时间</w:t>
            </w:r>
          </w:p>
        </w:tc>
      </w:tr>
      <w:tr w:rsidR="003A34E0" w14:paraId="201B56BB" w14:textId="77777777">
        <w:trPr>
          <w:trHeight w:val="989"/>
          <w:jc w:val="center"/>
        </w:trPr>
        <w:tc>
          <w:tcPr>
            <w:tcW w:w="1187" w:type="dxa"/>
            <w:shd w:val="clear" w:color="auto" w:fill="auto"/>
          </w:tcPr>
          <w:p w14:paraId="6DBAF333" w14:textId="77777777" w:rsidR="003A34E0" w:rsidRDefault="00000000">
            <w:pPr>
              <w:spacing w:line="54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888" w:type="dxa"/>
            <w:shd w:val="clear" w:color="auto" w:fill="auto"/>
          </w:tcPr>
          <w:p w14:paraId="3810DBC5" w14:textId="77777777" w:rsidR="003A34E0" w:rsidRDefault="00000000">
            <w:pPr>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公共卫生与预防医学</w:t>
            </w:r>
          </w:p>
        </w:tc>
        <w:tc>
          <w:tcPr>
            <w:tcW w:w="4225" w:type="dxa"/>
            <w:shd w:val="clear" w:color="auto" w:fill="auto"/>
          </w:tcPr>
          <w:p w14:paraId="79CBF24C" w14:textId="77777777" w:rsidR="003A34E0" w:rsidRDefault="00000000">
            <w:pPr>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2025年3月31日；具体时间地点另行通知</w:t>
            </w:r>
          </w:p>
        </w:tc>
      </w:tr>
      <w:tr w:rsidR="003A34E0" w14:paraId="104A42D4" w14:textId="77777777">
        <w:trPr>
          <w:trHeight w:val="998"/>
          <w:jc w:val="center"/>
        </w:trPr>
        <w:tc>
          <w:tcPr>
            <w:tcW w:w="1187" w:type="dxa"/>
            <w:shd w:val="clear" w:color="auto" w:fill="auto"/>
          </w:tcPr>
          <w:p w14:paraId="53DB06FE" w14:textId="77777777" w:rsidR="003A34E0" w:rsidRDefault="00000000">
            <w:pPr>
              <w:spacing w:line="54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888" w:type="dxa"/>
            <w:shd w:val="clear" w:color="auto" w:fill="auto"/>
          </w:tcPr>
          <w:p w14:paraId="14A82DEB" w14:textId="77777777" w:rsidR="003A34E0" w:rsidRDefault="00000000">
            <w:pPr>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公共卫生（MPH）</w:t>
            </w:r>
          </w:p>
        </w:tc>
        <w:tc>
          <w:tcPr>
            <w:tcW w:w="4225" w:type="dxa"/>
            <w:shd w:val="clear" w:color="auto" w:fill="auto"/>
          </w:tcPr>
          <w:p w14:paraId="12F65C94" w14:textId="77777777" w:rsidR="003A34E0" w:rsidRDefault="00000000">
            <w:pPr>
              <w:spacing w:line="540" w:lineRule="exact"/>
              <w:ind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2025年3月31日；具体时间地点另行通知</w:t>
            </w:r>
          </w:p>
        </w:tc>
      </w:tr>
    </w:tbl>
    <w:p w14:paraId="0BF2872D" w14:textId="77777777" w:rsidR="003A34E0" w:rsidRDefault="00000000">
      <w:pPr>
        <w:spacing w:line="540" w:lineRule="exact"/>
        <w:ind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（2）调剂具体复试时间、地点另行通知。</w:t>
      </w:r>
    </w:p>
    <w:p w14:paraId="723879C0"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五、复试流程</w:t>
      </w:r>
    </w:p>
    <w:p w14:paraId="7BA3A1A0"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（1）资格审查</w:t>
      </w:r>
    </w:p>
    <w:p w14:paraId="4F7C6019" w14:textId="77777777" w:rsidR="003A34E0" w:rsidRDefault="00000000">
      <w:pPr>
        <w:spacing w:line="5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材料：</w:t>
      </w:r>
      <w:r>
        <w:rPr>
          <w:rFonts w:ascii="仿宋_GB2312" w:eastAsia="仿宋_GB2312" w:hAnsi="仿宋_GB2312" w:cs="仿宋_GB2312" w:hint="eastAsia"/>
          <w:sz w:val="32"/>
          <w:szCs w:val="32"/>
        </w:rPr>
        <w:t>请各位考生前来参加复试时务必带上以下材料的原件（供核验）及原件复印件（复试记录留存）。</w:t>
      </w:r>
    </w:p>
    <w:p w14:paraId="717F8B5A"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1.本人有效身份证。</w:t>
      </w:r>
    </w:p>
    <w:p w14:paraId="4511E798"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2.初试准考证。</w:t>
      </w:r>
    </w:p>
    <w:p w14:paraId="5AEE7B46"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3.应届生出示《教育部学籍在线验证报告》、完整注册后的学生证（高校教务部门颁发的学生证）。</w:t>
      </w:r>
    </w:p>
    <w:p w14:paraId="09FC0A18"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4.往届生出示《教育部学历证书注册备案表》、本科毕业证书原件、学位证书原件。</w:t>
      </w:r>
    </w:p>
    <w:p w14:paraId="251BF025"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b/>
          <w:bCs/>
          <w:sz w:val="32"/>
          <w:szCs w:val="32"/>
          <w:u w:val="single"/>
        </w:rPr>
        <w:t>盖有红章</w:t>
      </w:r>
      <w:r>
        <w:rPr>
          <w:rFonts w:ascii="仿宋_GB2312" w:eastAsia="仿宋_GB2312" w:hAnsi="仿宋_GB2312" w:cs="仿宋_GB2312" w:hint="eastAsia"/>
          <w:sz w:val="32"/>
          <w:szCs w:val="32"/>
        </w:rPr>
        <w:t>的大学期间成绩单（应届生可以向所在学校教务部门索要；往届生可向档案管理部门要求复印，并加盖档案管理部门红章）。</w:t>
      </w:r>
    </w:p>
    <w:p w14:paraId="3BD88279"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6.考生简介。含考生自述、参与科研、发表论文、获奖、社会实践等。</w:t>
      </w:r>
    </w:p>
    <w:p w14:paraId="7C123D49"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7.政审表（应届生由母校出具，往届生由工作单位或档案保管部门（人才服务中心）或户口所在地派出所出具,并</w:t>
      </w:r>
      <w:r>
        <w:rPr>
          <w:rFonts w:ascii="仿宋_GB2312" w:eastAsia="仿宋_GB2312" w:hAnsi="仿宋_GB2312" w:cs="仿宋_GB2312" w:hint="eastAsia"/>
          <w:b/>
          <w:bCs/>
          <w:sz w:val="32"/>
          <w:szCs w:val="32"/>
          <w:u w:val="single"/>
        </w:rPr>
        <w:t>加盖单位红章</w:t>
      </w:r>
      <w:r>
        <w:rPr>
          <w:rFonts w:ascii="仿宋_GB2312" w:eastAsia="仿宋_GB2312" w:hAnsi="仿宋_GB2312" w:cs="仿宋_GB2312" w:hint="eastAsia"/>
          <w:sz w:val="32"/>
          <w:szCs w:val="32"/>
        </w:rPr>
        <w:t>）。</w:t>
      </w:r>
    </w:p>
    <w:p w14:paraId="62C617D9"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8.专升本应届生需</w:t>
      </w:r>
      <w:proofErr w:type="gramStart"/>
      <w:r>
        <w:rPr>
          <w:rFonts w:ascii="仿宋_GB2312" w:eastAsia="仿宋_GB2312" w:hAnsi="仿宋_GB2312" w:cs="仿宋_GB2312" w:hint="eastAsia"/>
          <w:sz w:val="32"/>
          <w:szCs w:val="32"/>
        </w:rPr>
        <w:t>提供省</w:t>
      </w:r>
      <w:proofErr w:type="gramEnd"/>
      <w:r>
        <w:rPr>
          <w:rFonts w:ascii="仿宋_GB2312" w:eastAsia="仿宋_GB2312" w:hAnsi="仿宋_GB2312" w:cs="仿宋_GB2312" w:hint="eastAsia"/>
          <w:sz w:val="32"/>
          <w:szCs w:val="32"/>
        </w:rPr>
        <w:t>教育厅录取名册（复印件）及学校教务部门发放的学生证。</w:t>
      </w:r>
    </w:p>
    <w:p w14:paraId="648DC343"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9.导师志愿单，根据《浙江中医药大学2025年硕士招生导师名单》填写，每个考生可以选择本专业的两个不同方向导师或同一方向的两位导师。</w:t>
      </w:r>
    </w:p>
    <w:p w14:paraId="2D88BC9B"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10.《浙江中医药大学诚信复试承诺书》，</w:t>
      </w:r>
      <w:r>
        <w:rPr>
          <w:rFonts w:ascii="仿宋_GB2312" w:eastAsia="仿宋_GB2312" w:hAnsi="仿宋_GB2312" w:cs="仿宋_GB2312" w:hint="eastAsia"/>
          <w:b/>
          <w:bCs/>
          <w:sz w:val="32"/>
          <w:szCs w:val="32"/>
          <w:u w:val="single"/>
        </w:rPr>
        <w:t>签名后</w:t>
      </w:r>
      <w:r>
        <w:rPr>
          <w:rFonts w:ascii="仿宋_GB2312" w:eastAsia="仿宋_GB2312" w:hAnsi="仿宋_GB2312" w:cs="仿宋_GB2312" w:hint="eastAsia"/>
          <w:sz w:val="32"/>
          <w:szCs w:val="32"/>
        </w:rPr>
        <w:t>上交。</w:t>
      </w:r>
    </w:p>
    <w:p w14:paraId="71B842EC"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温馨提醒：未按要求签订诚信复试《承诺书》或者提供虚假信息的考生将取消复试、录取资格，责任自负。应届生毕业时未拿到毕业证者一律取消录取资格。</w:t>
      </w:r>
    </w:p>
    <w:p w14:paraId="44EC55EA"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（2）复试</w:t>
      </w:r>
    </w:p>
    <w:p w14:paraId="39A8C75A" w14:textId="77777777" w:rsidR="003A34E0" w:rsidRDefault="00000000">
      <w:pPr>
        <w:spacing w:line="540" w:lineRule="exact"/>
        <w:ind w:firstLine="64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每生复试时间一般不少于20分钟（含</w:t>
      </w:r>
      <w:r>
        <w:rPr>
          <w:rFonts w:ascii="仿宋_GB2312" w:eastAsia="仿宋_GB2312" w:hAnsi="仿宋_GB2312" w:cs="仿宋_GB2312" w:hint="eastAsia"/>
          <w:kern w:val="0"/>
          <w:sz w:val="32"/>
          <w:szCs w:val="32"/>
        </w:rPr>
        <w:t>听力、</w:t>
      </w:r>
      <w:r>
        <w:rPr>
          <w:rFonts w:ascii="仿宋_GB2312" w:eastAsia="仿宋_GB2312" w:hAnsi="仿宋_GB2312" w:cs="仿宋_GB2312" w:hint="eastAsia"/>
          <w:sz w:val="32"/>
          <w:szCs w:val="32"/>
        </w:rPr>
        <w:t>口语及专业英语测试、专业能力测试、综合素质测试）。</w:t>
      </w:r>
    </w:p>
    <w:p w14:paraId="1AF49D44"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（3）考生体检</w:t>
      </w:r>
    </w:p>
    <w:p w14:paraId="3541FDD0"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按照学校统一要求进行体检。</w:t>
      </w:r>
    </w:p>
    <w:p w14:paraId="3FB2F2AC"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（4）心理测试</w:t>
      </w:r>
    </w:p>
    <w:p w14:paraId="4F148FB8" w14:textId="77777777" w:rsidR="003A34E0" w:rsidRDefault="00000000">
      <w:pPr>
        <w:spacing w:line="540" w:lineRule="exact"/>
        <w:ind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按照学校要求于规定时间内网上完成心理测试。</w:t>
      </w:r>
    </w:p>
    <w:p w14:paraId="62DA5A83"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六、成绩核算</w:t>
      </w:r>
    </w:p>
    <w:p w14:paraId="6DCF372B"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复试成绩比例：英语听力10%、英语口语及专业外语10%、专业知识能力60%、综合素质能力20%，合计100分。总成绩的计算方法：初试成绩/5×65%+复试总成绩×35%，创新性成果（省部级成果并为第一负责人）可酌情加分，最多不超过5分。</w:t>
      </w:r>
    </w:p>
    <w:p w14:paraId="418455D2" w14:textId="77777777" w:rsidR="003A34E0" w:rsidRDefault="00000000">
      <w:pPr>
        <w:spacing w:line="540" w:lineRule="exact"/>
        <w:ind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2.复试专家组全体成员须在复试记录本上签字，面试结束后给出复试成绩和总成绩。根据招生计划，最后确定拟录取名单。</w:t>
      </w:r>
    </w:p>
    <w:p w14:paraId="0CDD3408" w14:textId="77777777" w:rsidR="003A34E0" w:rsidRDefault="00000000">
      <w:pPr>
        <w:spacing w:line="540" w:lineRule="exact"/>
        <w:ind w:firstLine="640"/>
        <w:rPr>
          <w:rFonts w:ascii="黑体" w:eastAsia="黑体" w:hAnsi="黑体" w:cs="黑体"/>
          <w:sz w:val="32"/>
          <w:szCs w:val="32"/>
        </w:rPr>
      </w:pPr>
      <w:r>
        <w:rPr>
          <w:rFonts w:ascii="黑体" w:eastAsia="黑体" w:hAnsi="黑体" w:cs="黑体" w:hint="eastAsia"/>
          <w:sz w:val="32"/>
          <w:szCs w:val="32"/>
        </w:rPr>
        <w:t>七、投诉程序</w:t>
      </w:r>
    </w:p>
    <w:p w14:paraId="1D21C91C"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学生复试结束后如对复试结果有异议者，须在3天内向学院提出书面申请，经复试领导小组复核后给出书面回复。</w:t>
      </w:r>
    </w:p>
    <w:p w14:paraId="342D0579"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学院联系人：李老师   0571-86658075</w:t>
      </w:r>
    </w:p>
    <w:p w14:paraId="3E37C5AE" w14:textId="77777777" w:rsidR="003A34E0" w:rsidRDefault="00000000">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地点：浙江中医药大学公共卫生学院15-424办公室</w:t>
      </w:r>
    </w:p>
    <w:p w14:paraId="7CA76C10" w14:textId="77777777" w:rsidR="003A34E0" w:rsidRDefault="003A34E0">
      <w:pPr>
        <w:spacing w:line="540" w:lineRule="exact"/>
        <w:ind w:firstLine="640"/>
        <w:rPr>
          <w:rFonts w:ascii="仿宋_GB2312" w:eastAsia="仿宋_GB2312" w:hAnsi="仿宋_GB2312" w:cs="仿宋_GB2312"/>
          <w:sz w:val="32"/>
          <w:szCs w:val="32"/>
        </w:rPr>
      </w:pPr>
    </w:p>
    <w:p w14:paraId="3DE9A96F" w14:textId="77777777" w:rsidR="003A34E0" w:rsidRDefault="003A34E0">
      <w:pPr>
        <w:spacing w:line="540" w:lineRule="exact"/>
        <w:ind w:firstLine="640"/>
        <w:rPr>
          <w:rFonts w:ascii="仿宋_GB2312" w:eastAsia="仿宋_GB2312" w:hAnsi="仿宋_GB2312" w:cs="仿宋_GB2312"/>
          <w:sz w:val="32"/>
          <w:szCs w:val="32"/>
        </w:rPr>
      </w:pPr>
    </w:p>
    <w:p w14:paraId="4815D879" w14:textId="77777777" w:rsidR="003A34E0" w:rsidRDefault="003A34E0">
      <w:pPr>
        <w:spacing w:line="540" w:lineRule="exact"/>
        <w:ind w:firstLine="640"/>
        <w:rPr>
          <w:rFonts w:ascii="仿宋_GB2312" w:eastAsia="仿宋_GB2312" w:hAnsi="仿宋_GB2312" w:cs="仿宋_GB2312"/>
          <w:sz w:val="32"/>
          <w:szCs w:val="32"/>
        </w:rPr>
      </w:pPr>
    </w:p>
    <w:p w14:paraId="091E68EF" w14:textId="77777777" w:rsidR="003A34E0" w:rsidRDefault="00000000">
      <w:pPr>
        <w:spacing w:line="540" w:lineRule="exact"/>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浙江中医药大学公共卫生学院         </w:t>
      </w:r>
    </w:p>
    <w:p w14:paraId="6EAC5D88" w14:textId="77777777" w:rsidR="003A34E0" w:rsidRDefault="00000000">
      <w:pPr>
        <w:spacing w:line="540" w:lineRule="exact"/>
        <w:ind w:firstLineChars="1100" w:firstLine="35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2025年03月2</w:t>
      </w:r>
      <w:r>
        <w:rPr>
          <w:rFonts w:ascii="仿宋_GB2312" w:eastAsia="仿宋_GB2312" w:hAnsi="仿宋_GB2312" w:cs="仿宋_GB2312"/>
          <w:color w:val="000000"/>
          <w:sz w:val="32"/>
          <w:szCs w:val="32"/>
        </w:rPr>
        <w:t>6</w:t>
      </w:r>
      <w:r>
        <w:rPr>
          <w:rFonts w:ascii="仿宋_GB2312" w:eastAsia="仿宋_GB2312" w:hAnsi="仿宋_GB2312" w:cs="仿宋_GB2312" w:hint="eastAsia"/>
          <w:color w:val="000000"/>
          <w:sz w:val="32"/>
          <w:szCs w:val="32"/>
        </w:rPr>
        <w:t xml:space="preserve">日  </w:t>
      </w:r>
    </w:p>
    <w:p w14:paraId="658D19E6" w14:textId="77777777" w:rsidR="003A34E0" w:rsidRDefault="00000000">
      <w:pPr>
        <w:spacing w:line="540" w:lineRule="exact"/>
        <w:ind w:leftChars="2500" w:left="525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p>
    <w:p w14:paraId="7127712E" w14:textId="77777777" w:rsidR="003A34E0" w:rsidRDefault="003A34E0"/>
    <w:p w14:paraId="112DEFBE" w14:textId="77777777" w:rsidR="003A34E0" w:rsidRDefault="003A34E0"/>
    <w:sectPr w:rsidR="003A34E0">
      <w:headerReference w:type="even" r:id="rId6"/>
      <w:headerReference w:type="default" r:id="rId7"/>
      <w:footerReference w:type="even" r:id="rId8"/>
      <w:footerReference w:type="default" r:id="rId9"/>
      <w:headerReference w:type="first" r:id="rId10"/>
      <w:footerReference w:type="first" r:id="rId11"/>
      <w:pgSz w:w="11906" w:h="16838"/>
      <w:pgMar w:top="851"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CF46" w14:textId="77777777" w:rsidR="007C314D" w:rsidRDefault="007C314D">
      <w:pPr>
        <w:spacing w:line="240" w:lineRule="auto"/>
      </w:pPr>
      <w:r>
        <w:separator/>
      </w:r>
    </w:p>
  </w:endnote>
  <w:endnote w:type="continuationSeparator" w:id="0">
    <w:p w14:paraId="6306EF94" w14:textId="77777777" w:rsidR="007C314D" w:rsidRDefault="007C3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0E7D" w14:textId="77777777" w:rsidR="00D6691D" w:rsidRDefault="00D6691D">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2461" w14:textId="77777777" w:rsidR="00D6691D" w:rsidRDefault="00D6691D">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A03D" w14:textId="77777777" w:rsidR="00D6691D" w:rsidRDefault="00D6691D">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2E47" w14:textId="77777777" w:rsidR="007C314D" w:rsidRDefault="007C314D">
      <w:pPr>
        <w:spacing w:line="240" w:lineRule="auto"/>
      </w:pPr>
      <w:r>
        <w:separator/>
      </w:r>
    </w:p>
  </w:footnote>
  <w:footnote w:type="continuationSeparator" w:id="0">
    <w:p w14:paraId="34081BCA" w14:textId="77777777" w:rsidR="007C314D" w:rsidRDefault="007C31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E59C" w14:textId="77777777" w:rsidR="00D6691D" w:rsidRDefault="00D6691D">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142F" w14:textId="77777777" w:rsidR="00D6691D" w:rsidRDefault="00D6691D">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66FC" w14:textId="77777777" w:rsidR="00D6691D" w:rsidRDefault="00D6691D">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RkYWE0ZDkzNjNmYmU4ODUyMzhlOWJhZDg2NWYwN2IifQ=="/>
  </w:docVars>
  <w:rsids>
    <w:rsidRoot w:val="007A1D9C"/>
    <w:rsid w:val="002E7E8E"/>
    <w:rsid w:val="003A34E0"/>
    <w:rsid w:val="007A1D9C"/>
    <w:rsid w:val="007C314D"/>
    <w:rsid w:val="0089103A"/>
    <w:rsid w:val="00CC06DF"/>
    <w:rsid w:val="00D107C1"/>
    <w:rsid w:val="00D367F4"/>
    <w:rsid w:val="00D6691D"/>
    <w:rsid w:val="00E751B0"/>
    <w:rsid w:val="00F677DC"/>
    <w:rsid w:val="0A911455"/>
    <w:rsid w:val="102A7408"/>
    <w:rsid w:val="15A35ED0"/>
    <w:rsid w:val="172A130A"/>
    <w:rsid w:val="28CA1205"/>
    <w:rsid w:val="60987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3FE12"/>
  <w15:docId w15:val="{32FED78C-44E4-4BC4-BE4B-AA811C7C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60" w:lineRule="exact"/>
      <w:ind w:firstLineChars="200" w:firstLine="42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annotation subject"/>
    <w:basedOn w:val="a3"/>
    <w:next w:val="a3"/>
    <w:link w:val="a6"/>
    <w:qFormat/>
    <w:rPr>
      <w:b/>
      <w:bCs/>
    </w:rPr>
  </w:style>
  <w:style w:type="character" w:styleId="a7">
    <w:name w:val="annotation reference"/>
    <w:basedOn w:val="a0"/>
    <w:qFormat/>
    <w:rPr>
      <w:sz w:val="21"/>
      <w:szCs w:val="21"/>
    </w:rPr>
  </w:style>
  <w:style w:type="paragraph" w:customStyle="1" w:styleId="1">
    <w:name w:val="修订1"/>
    <w:hidden/>
    <w:uiPriority w:val="99"/>
    <w:unhideWhenUsed/>
    <w:qFormat/>
    <w:rPr>
      <w:rFonts w:ascii="Times New Roman" w:eastAsia="宋体" w:hAnsi="Times New Roman" w:cs="Times New Roman"/>
      <w:kern w:val="2"/>
      <w:sz w:val="21"/>
      <w:szCs w:val="24"/>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6">
    <w:name w:val="批注主题 字符"/>
    <w:basedOn w:val="a4"/>
    <w:link w:val="a5"/>
    <w:qFormat/>
    <w:rPr>
      <w:rFonts w:ascii="Times New Roman" w:eastAsia="宋体" w:hAnsi="Times New Roman" w:cs="Times New Roman"/>
      <w:b/>
      <w:bCs/>
      <w:kern w:val="2"/>
      <w:sz w:val="21"/>
      <w:szCs w:val="24"/>
    </w:rPr>
  </w:style>
  <w:style w:type="paragraph" w:styleId="a8">
    <w:name w:val="header"/>
    <w:basedOn w:val="a"/>
    <w:link w:val="a9"/>
    <w:rsid w:val="00D6691D"/>
    <w:pPr>
      <w:tabs>
        <w:tab w:val="center" w:pos="4153"/>
        <w:tab w:val="right" w:pos="8306"/>
      </w:tabs>
      <w:snapToGrid w:val="0"/>
      <w:spacing w:line="240" w:lineRule="atLeast"/>
      <w:jc w:val="center"/>
    </w:pPr>
    <w:rPr>
      <w:sz w:val="18"/>
      <w:szCs w:val="18"/>
    </w:rPr>
  </w:style>
  <w:style w:type="character" w:customStyle="1" w:styleId="a9">
    <w:name w:val="页眉 字符"/>
    <w:basedOn w:val="a0"/>
    <w:link w:val="a8"/>
    <w:rsid w:val="00D6691D"/>
    <w:rPr>
      <w:rFonts w:ascii="Times New Roman" w:eastAsia="宋体" w:hAnsi="Times New Roman" w:cs="Times New Roman"/>
      <w:kern w:val="2"/>
      <w:sz w:val="18"/>
      <w:szCs w:val="18"/>
    </w:rPr>
  </w:style>
  <w:style w:type="paragraph" w:styleId="aa">
    <w:name w:val="footer"/>
    <w:basedOn w:val="a"/>
    <w:link w:val="ab"/>
    <w:rsid w:val="00D6691D"/>
    <w:pPr>
      <w:tabs>
        <w:tab w:val="center" w:pos="4153"/>
        <w:tab w:val="right" w:pos="8306"/>
      </w:tabs>
      <w:snapToGrid w:val="0"/>
      <w:spacing w:line="240" w:lineRule="atLeast"/>
      <w:jc w:val="left"/>
    </w:pPr>
    <w:rPr>
      <w:sz w:val="18"/>
      <w:szCs w:val="18"/>
    </w:rPr>
  </w:style>
  <w:style w:type="character" w:customStyle="1" w:styleId="ab">
    <w:name w:val="页脚 字符"/>
    <w:basedOn w:val="a0"/>
    <w:link w:val="aa"/>
    <w:rsid w:val="00D6691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2024-03-28T08:11:00Z</dcterms:created>
  <dcterms:modified xsi:type="dcterms:W3CDTF">2025-03-26T12:10:00Z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9A5D2B24274B4FC797B71A19F7C85F77_12</vt:lpwstr>
  </property>
  <property fmtid="{D5CDD505-2E9C-101B-9397-08002B2CF9AE}" pid="4" name="KSOTemplateDocerSaveRecord">
    <vt:lpwstr>eyJoZGlkIjoiNGU3MTk4OTBhZjUyZmFlOGZkNTlkNDg3OWU0NmFiZGEiLCJ1c2VySWQiOiIzNzUzMTMzNDAifQ==</vt:lpwstr>
  </property>
</Properties>
</file>